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Helvetica-Bold" w:eastAsiaTheme="minorEastAsia" w:hAnsi="Helvetica-Bold" w:cs="Helvetica-Bold"/>
          <w:b/>
          <w:bCs/>
          <w:sz w:val="32"/>
          <w:szCs w:val="32"/>
          <w:lang w:eastAsia="fr-FR"/>
        </w:rPr>
      </w:pPr>
      <w:r w:rsidRPr="00096E74">
        <w:rPr>
          <w:rFonts w:ascii="Helvetica-Bold" w:eastAsiaTheme="minorEastAsia" w:hAnsi="Helvetica-Bold" w:cs="Helvetica-Bold"/>
          <w:b/>
          <w:bCs/>
          <w:sz w:val="32"/>
          <w:szCs w:val="32"/>
          <w:lang w:eastAsia="fr-FR"/>
        </w:rPr>
        <w:t>FICHE DE POSTE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Helvetica-Bold" w:eastAsiaTheme="minorEastAsia" w:hAnsi="Helvetica-Bold" w:cs="Helvetica-Bold"/>
          <w:b/>
          <w:bCs/>
          <w:sz w:val="32"/>
          <w:szCs w:val="32"/>
          <w:lang w:eastAsia="fr-FR"/>
        </w:rPr>
      </w:pPr>
      <w:r w:rsidRPr="00096E74">
        <w:rPr>
          <w:rFonts w:ascii="Helvetica-Bold" w:eastAsiaTheme="minorEastAsia" w:hAnsi="Helvetica-Bold" w:cs="Helvetica-Bold"/>
          <w:b/>
          <w:bCs/>
          <w:sz w:val="32"/>
          <w:szCs w:val="32"/>
          <w:lang w:eastAsia="fr-FR"/>
        </w:rPr>
        <w:t>ENSEIGNANT.ES-CHERCHEUR.ES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Helvetica-Bold" w:eastAsiaTheme="minorEastAsia" w:hAnsi="Helvetica-Bold" w:cs="Helvetica-Bold"/>
          <w:b/>
          <w:bCs/>
          <w:sz w:val="24"/>
          <w:szCs w:val="24"/>
          <w:lang w:eastAsia="fr-FR"/>
        </w:rPr>
      </w:pP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240" w:line="240" w:lineRule="auto"/>
        <w:ind w:right="-6"/>
        <w:jc w:val="both"/>
        <w:rPr>
          <w:rFonts w:ascii="TimesNewRomanPSMT" w:eastAsiaTheme="minorEastAsia" w:hAnsi="TimesNewRomanPSMT" w:cs="TimesNewRomanPSMT"/>
          <w:sz w:val="24"/>
          <w:szCs w:val="24"/>
          <w:lang w:eastAsia="fr-FR"/>
        </w:rPr>
      </w:pP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Créée en 1973, l’université Lumière Lyon 2 est considérée comme la deuxième université française en Lettres, Langues, Sciences humaines et sociales. 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240" w:line="240" w:lineRule="auto"/>
        <w:ind w:right="-6"/>
        <w:jc w:val="both"/>
        <w:rPr>
          <w:rFonts w:ascii="TimesNewRomanPSMT" w:eastAsiaTheme="minorEastAsia" w:hAnsi="TimesNewRomanPSMT" w:cs="TimesNewRomanPSMT"/>
          <w:sz w:val="24"/>
          <w:szCs w:val="24"/>
          <w:lang w:eastAsia="fr-FR"/>
        </w:rPr>
      </w:pP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>Membre fondateur du Pôle de Recherche et d’Enseignement Supérieur (PRES) de Lyon, l’Université Lumière Lyon 2 accueille sur deux campus près de 30 000 étudiants, de la Licence 1 au doctorat.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NewRomanPSMT" w:eastAsiaTheme="minorEastAsia" w:hAnsi="TimesNewRomanPSMT" w:cs="TimesNewRomanPSMT"/>
          <w:sz w:val="24"/>
          <w:szCs w:val="24"/>
          <w:lang w:eastAsia="fr-FR"/>
        </w:rPr>
      </w:pP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Elle compte 13 entités de formation réparties dans 4 domaines de formation et de recherche : </w:t>
      </w:r>
      <w:r w:rsidRPr="00096E74">
        <w:rPr>
          <w:rFonts w:ascii="TimesNewRomanPS-BoldMT" w:eastAsiaTheme="minorEastAsia" w:hAnsi="TimesNewRomanPS-BoldMT" w:cs="TimesNewRomanPS-BoldMT"/>
          <w:b/>
          <w:bCs/>
          <w:sz w:val="24"/>
          <w:szCs w:val="24"/>
          <w:lang w:eastAsia="fr-FR"/>
        </w:rPr>
        <w:t>Arts, lettres, langues</w:t>
      </w: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 / </w:t>
      </w:r>
      <w:r w:rsidRPr="00096E74">
        <w:rPr>
          <w:rFonts w:ascii="TimesNewRomanPS-BoldMT" w:eastAsiaTheme="minorEastAsia" w:hAnsi="TimesNewRomanPS-BoldMT" w:cs="TimesNewRomanPS-BoldMT"/>
          <w:b/>
          <w:bCs/>
          <w:sz w:val="24"/>
          <w:szCs w:val="24"/>
          <w:lang w:eastAsia="fr-FR"/>
        </w:rPr>
        <w:t>Droit, économie, gestion</w:t>
      </w: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 / </w:t>
      </w:r>
      <w:r w:rsidRPr="00096E74">
        <w:rPr>
          <w:rFonts w:ascii="TimesNewRomanPS-BoldMT" w:eastAsiaTheme="minorEastAsia" w:hAnsi="TimesNewRomanPS-BoldMT" w:cs="TimesNewRomanPS-BoldMT"/>
          <w:b/>
          <w:bCs/>
          <w:sz w:val="24"/>
          <w:szCs w:val="24"/>
          <w:lang w:eastAsia="fr-FR"/>
        </w:rPr>
        <w:t>Sciences humaines et sociales</w:t>
      </w: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 / </w:t>
      </w:r>
      <w:r w:rsidRPr="00096E74">
        <w:rPr>
          <w:rFonts w:ascii="TimesNewRomanPS-BoldMT" w:eastAsiaTheme="minorEastAsia" w:hAnsi="TimesNewRomanPS-BoldMT" w:cs="TimesNewRomanPS-BoldMT"/>
          <w:b/>
          <w:bCs/>
          <w:sz w:val="24"/>
          <w:szCs w:val="24"/>
          <w:lang w:eastAsia="fr-FR"/>
        </w:rPr>
        <w:t>Sciences, technologie, santé</w:t>
      </w: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>.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NewRomanPSMT" w:eastAsiaTheme="minorEastAsia" w:hAnsi="TimesNewRomanPSMT" w:cs="TimesNewRomanPSMT"/>
          <w:sz w:val="24"/>
          <w:szCs w:val="24"/>
          <w:lang w:eastAsia="fr-FR"/>
        </w:rPr>
      </w:pPr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 xml:space="preserve">Dotée de </w:t>
      </w:r>
      <w:hyperlink r:id="rId5" w:history="1">
        <w:r w:rsidRPr="00096E74">
          <w:rPr>
            <w:rFonts w:ascii="TimesNewRomanPSMT" w:eastAsiaTheme="minorEastAsia" w:hAnsi="TimesNewRomanPSMT" w:cs="TimesNewRomanPSMT"/>
            <w:sz w:val="24"/>
            <w:szCs w:val="24"/>
            <w:lang w:eastAsia="fr-FR"/>
          </w:rPr>
          <w:t>34 laboratoires et de 3 fédérations de recherche</w:t>
        </w:r>
      </w:hyperlink>
      <w:r w:rsidRPr="00096E74">
        <w:rPr>
          <w:rFonts w:ascii="TimesNewRomanPSMT" w:eastAsiaTheme="minorEastAsia" w:hAnsi="TimesNewRomanPSMT" w:cs="TimesNewRomanPSMT"/>
          <w:sz w:val="24"/>
          <w:szCs w:val="24"/>
          <w:lang w:eastAsia="fr-FR"/>
        </w:rPr>
        <w:t>, couvrant l’ensemble du champ des Lettres - Langues - Sciences Humaines et Sociales (LLSHS), l’université Lumière Lyon 2 fait le pari de l’innovation, de l’interdisciplinarité, du partenariat et de l’ouverture internationale.</w:t>
      </w: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Helvetica-Bold" w:eastAsiaTheme="minorEastAsia" w:hAnsi="Helvetica-Bold" w:cs="Helvetica-Bold"/>
          <w:b/>
          <w:bCs/>
          <w:sz w:val="24"/>
          <w:szCs w:val="24"/>
          <w:lang w:eastAsia="fr-FR"/>
        </w:rPr>
      </w:pP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Helvetica-Bold" w:eastAsiaTheme="minorEastAsia" w:hAnsi="Helvetica-Bold" w:cs="Helvetica-Bold"/>
          <w:b/>
          <w:bCs/>
          <w:sz w:val="24"/>
          <w:szCs w:val="24"/>
          <w:lang w:eastAsia="fr-FR"/>
        </w:rPr>
      </w:pPr>
    </w:p>
    <w:p w:rsidR="00096E74" w:rsidRPr="00096E74" w:rsidRDefault="00096E74" w:rsidP="00096E74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Helvetica-Bold" w:eastAsiaTheme="minorEastAsia" w:hAnsi="Helvetica-Bold" w:cs="Helvetica-Bold"/>
          <w:b/>
          <w:bCs/>
          <w:sz w:val="24"/>
          <w:szCs w:val="24"/>
          <w:lang w:eastAsia="fr-FR"/>
        </w:rPr>
      </w:pPr>
      <w:r w:rsidRPr="00096E74">
        <w:rPr>
          <w:rFonts w:ascii="Helvetica-Bold" w:eastAsiaTheme="minorEastAsia" w:hAnsi="Helvetica-Bold" w:cs="Helvetica-Bold"/>
          <w:b/>
          <w:bCs/>
          <w:sz w:val="24"/>
          <w:szCs w:val="24"/>
          <w:lang w:eastAsia="fr-FR"/>
        </w:rPr>
        <w:t xml:space="preserve">Date de rédaction : </w:t>
      </w:r>
    </w:p>
    <w:tbl>
      <w:tblPr>
        <w:tblW w:w="11194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734"/>
        <w:gridCol w:w="7864"/>
        <w:gridCol w:w="596"/>
      </w:tblGrid>
      <w:tr w:rsidR="00096E74" w:rsidRPr="00096E74" w:rsidTr="004617BB"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C1371" w:rsidRDefault="00096E74" w:rsidP="005C1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highlight w:val="yellow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Intitulé du poste en fr</w:t>
            </w:r>
            <w:r w:rsidR="00F421E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 xml:space="preserve">ançais : </w:t>
            </w:r>
            <w:r w:rsidR="00F421E4" w:rsidRPr="00B91FF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 xml:space="preserve">Formation des adultes </w:t>
            </w:r>
          </w:p>
          <w:p w:rsidR="00096E74" w:rsidRPr="00096E74" w:rsidRDefault="00096E74" w:rsidP="005C1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Intitulé du poste en anglais :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Section : 70e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Corps : MCF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</w:pPr>
            <w:r w:rsidRPr="00096E74"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  <w:t>Réservé à l’administration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</w:pPr>
            <w:r w:rsidRPr="00096E74"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  <w:t xml:space="preserve">Numéro de poste : 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</w:pPr>
            <w:r w:rsidRPr="00096E74">
              <w:rPr>
                <w:rFonts w:ascii="Helvetica-Oblique" w:eastAsiaTheme="minorEastAsia" w:hAnsi="Helvetica-Oblique" w:cs="Helvetica-Oblique"/>
                <w:i/>
                <w:iCs/>
                <w:sz w:val="24"/>
                <w:szCs w:val="24"/>
                <w:lang w:eastAsia="fr-FR"/>
              </w:rPr>
              <w:t>Numéro Galaxie :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8" w:space="0" w:color="BFBFBF"/>
              <w:bottom w:val="single" w:sz="4" w:space="0" w:color="BFBFBF"/>
            </w:tcBorders>
            <w:shd w:val="clear" w:color="auto" w:fill="BFBFBF"/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Helvetica-Bold" w:eastAsiaTheme="minorEastAsia" w:hAnsi="Helvetica-Bold" w:cs="Helvetica-Bold"/>
                <w:b/>
                <w:bCs/>
                <w:sz w:val="32"/>
                <w:szCs w:val="32"/>
                <w:lang w:eastAsia="fr-FR"/>
              </w:rPr>
            </w:pPr>
            <w:r w:rsidRPr="00096E74">
              <w:rPr>
                <w:rFonts w:ascii="Helvetica-Bold" w:eastAsiaTheme="minorEastAsia" w:hAnsi="Helvetica-Bold" w:cs="Helvetica-Bold"/>
                <w:b/>
                <w:bCs/>
                <w:sz w:val="32"/>
                <w:szCs w:val="32"/>
                <w:lang w:eastAsia="fr-FR"/>
              </w:rPr>
              <w:t>ENSEIGNEMENT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Composante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11508D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eastAsiaTheme="minorEastAsia" w:cstheme="minorHAnsi"/>
                <w:sz w:val="24"/>
                <w:szCs w:val="24"/>
                <w:lang w:eastAsia="fr-FR"/>
              </w:rPr>
            </w:pPr>
            <w:r w:rsidRPr="0011508D">
              <w:rPr>
                <w:rFonts w:eastAsiaTheme="minorEastAsia" w:cstheme="minorHAnsi"/>
                <w:sz w:val="24"/>
                <w:szCs w:val="24"/>
                <w:lang w:eastAsia="fr-FR"/>
              </w:rPr>
              <w:t>ISPEF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URL composante 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11508D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rPr>
                <w:rFonts w:eastAsiaTheme="minorEastAsia" w:cstheme="minorHAnsi"/>
                <w:sz w:val="24"/>
                <w:szCs w:val="24"/>
                <w:lang w:eastAsia="fr-FR"/>
              </w:rPr>
            </w:pPr>
            <w:r w:rsidRPr="0011508D">
              <w:rPr>
                <w:rFonts w:eastAsiaTheme="minorEastAsia" w:cstheme="minorHAnsi"/>
                <w:sz w:val="24"/>
                <w:szCs w:val="24"/>
                <w:lang w:eastAsia="fr-FR"/>
              </w:rPr>
              <w:t>http://ispef.univ-lyon2.fr/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Filières ou département d’enseignement 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11508D" w:rsidRDefault="00B91FF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eastAsiaTheme="minorEastAsia" w:cstheme="minorHAnsi"/>
                <w:sz w:val="24"/>
                <w:szCs w:val="24"/>
                <w:lang w:eastAsia="fr-FR"/>
              </w:rPr>
            </w:pPr>
            <w:r w:rsidRPr="0011508D">
              <w:rPr>
                <w:rFonts w:eastAsiaTheme="minorEastAsia" w:cstheme="minorHAnsi"/>
                <w:sz w:val="24"/>
                <w:szCs w:val="24"/>
                <w:lang w:eastAsia="fr-FR"/>
              </w:rPr>
              <w:t>ISPEF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 xml:space="preserve">Lieu exercice </w:t>
            </w:r>
          </w:p>
        </w:tc>
        <w:tc>
          <w:tcPr>
            <w:tcW w:w="786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37"/>
            </w:tblGrid>
            <w:tr w:rsidR="00096E74" w:rsidRPr="004617BB" w:rsidTr="00416947">
              <w:tc>
                <w:tcPr>
                  <w:tcW w:w="433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tcMar>
                    <w:top w:w="100" w:type="nil"/>
                    <w:right w:w="100" w:type="nil"/>
                  </w:tcMar>
                </w:tcPr>
                <w:p w:rsidR="00096E74" w:rsidRPr="004617BB" w:rsidRDefault="00096E74" w:rsidP="00096E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054"/>
                    <w:rPr>
                      <w:rFonts w:ascii="Helvetica" w:eastAsiaTheme="minorEastAsia" w:hAnsi="Helvetica" w:cstheme="minorHAnsi"/>
                      <w:sz w:val="24"/>
                      <w:szCs w:val="24"/>
                      <w:lang w:eastAsia="fr-FR"/>
                    </w:rPr>
                  </w:pPr>
                  <w:r w:rsidRPr="004617BB">
                    <w:rPr>
                      <w:rFonts w:ascii="Helvetica" w:eastAsiaTheme="minorEastAsia" w:hAnsi="Helvetica" w:cstheme="minorHAnsi"/>
                      <w:sz w:val="24"/>
                      <w:szCs w:val="24"/>
                      <w:lang w:eastAsia="fr-FR"/>
                    </w:rPr>
                    <w:t>Quai Claude Bernard</w:t>
                  </w:r>
                </w:p>
              </w:tc>
            </w:tr>
          </w:tbl>
          <w:p w:rsidR="00B91FF4" w:rsidRPr="004617BB" w:rsidRDefault="00B91FF4" w:rsidP="00B9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Stéphane Simonian</w:t>
            </w:r>
          </w:p>
          <w:p w:rsidR="00B91FF4" w:rsidRPr="004617BB" w:rsidRDefault="00B91FF4" w:rsidP="00B9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04 78 69 72 11</w:t>
            </w:r>
          </w:p>
          <w:p w:rsidR="00096E74" w:rsidRPr="004617BB" w:rsidRDefault="00B91FF4" w:rsidP="00B91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Stephane.simonian@univ-lyon2.fr </w:t>
            </w:r>
          </w:p>
        </w:tc>
        <w:tc>
          <w:tcPr>
            <w:tcW w:w="5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Profil enseignement (seuls les 300 1</w:t>
            </w:r>
            <w:r w:rsidR="00A546A7" w:rsidRPr="00096E74">
              <w:rPr>
                <w:rFonts w:ascii="Helvetica" w:eastAsiaTheme="minorEastAsia" w:hAnsi="Helvetica" w:cs="Helvetica"/>
                <w:sz w:val="24"/>
                <w:szCs w:val="24"/>
                <w:vertAlign w:val="superscript"/>
                <w:lang w:eastAsia="fr-FR"/>
              </w:rPr>
              <w:t>ers</w:t>
            </w:r>
            <w:r w:rsidR="00A546A7"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 xml:space="preserve"> caractères</w:t>
            </w: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 xml:space="preserve"> sont inscrits dans galaxie mais la fiche de poste complète est accessible)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sz w:val="24"/>
                <w:szCs w:val="24"/>
                <w:lang w:eastAsia="fr-FR"/>
              </w:rPr>
              <w:t>Décrire notamment l’enseignement, le niveau (L, M, …) et le type (CM, TD, …)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5C1371" w:rsidRPr="004617BB" w:rsidRDefault="00096E74" w:rsidP="002A1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Le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ou </w:t>
            </w:r>
            <w:r w:rsidR="002A1AFB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la</w:t>
            </w: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candidat</w:t>
            </w:r>
            <w:r w:rsidR="002A1AFB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.e</w:t>
            </w:r>
            <w:proofErr w:type="spellEnd"/>
            <w:r w:rsidR="002A1AFB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disposera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</w:t>
            </w:r>
            <w:r w:rsidR="002A1AFB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de solides connaissances</w:t>
            </w:r>
            <w:r w:rsidR="0041694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en sciences de l'éducation,</w:t>
            </w:r>
            <w:r w:rsidR="002A1AFB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dans le champ de la formation des adultes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</w:t>
            </w:r>
            <w:r w:rsidR="0041694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(éducation populaire, formation instituée, </w:t>
            </w:r>
            <w:r w:rsidR="00B91FF4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etc.</w:t>
            </w:r>
            <w:r w:rsidR="0041694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), 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dans la perspective de l’éducation tout au long de la vie</w:t>
            </w:r>
            <w:r w:rsidR="0041694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. 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Il ou elle </w:t>
            </w:r>
            <w:r w:rsidR="0009349E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devra développer</w:t>
            </w:r>
            <w:r w:rsidR="005C1371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la formation continue à l’ISPEF (voire la création d’une Licence Professionnelle)</w:t>
            </w:r>
            <w:r w:rsidR="0041694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et des partenariats avec des organismes de différent</w:t>
            </w:r>
            <w:r w:rsidR="00371F31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s</w:t>
            </w:r>
            <w:r w:rsidR="0041694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type</w:t>
            </w:r>
            <w:r w:rsidR="00371F31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s</w:t>
            </w:r>
            <w:r w:rsidR="005C1371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. </w:t>
            </w:r>
            <w:r w:rsidR="00B91FF4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Au vu des r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é</w:t>
            </w:r>
            <w:r w:rsidR="00B91FF4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formes à venir, des connaissances sur les blocs de compétence</w:t>
            </w:r>
            <w:r w:rsidR="00371F31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s</w:t>
            </w:r>
            <w:r w:rsidR="00B91FF4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sont attendues.</w:t>
            </w:r>
            <w:bookmarkStart w:id="0" w:name="_GoBack"/>
            <w:bookmarkEnd w:id="0"/>
          </w:p>
          <w:p w:rsidR="0009349E" w:rsidRPr="004617BB" w:rsidRDefault="0009349E" w:rsidP="002A1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  <w:p w:rsidR="002A1AFB" w:rsidRPr="004617BB" w:rsidRDefault="002A1AFB" w:rsidP="002A1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Les enseignements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concernent la formation des adultes et l’éducation populaire. Ils</w:t>
            </w: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s’adresseront à des étudiants de la L1</w:t>
            </w:r>
            <w:r w:rsidR="00A546A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au Master 2, </w:t>
            </w: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co</w:t>
            </w:r>
            <w:r w:rsidR="00A546A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mprenant la direction de mémoire</w:t>
            </w:r>
            <w:r w:rsidR="00371F31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s</w:t>
            </w:r>
            <w:r w:rsidR="0073555D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dans le cadre du master MIFA ou du master </w:t>
            </w:r>
            <w:r w:rsidR="005C1371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1 et 2 sciences de l’éducation à distance – Campus Numérique </w:t>
            </w:r>
            <w:r w:rsidR="0073555D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FORSE</w:t>
            </w:r>
            <w:r w:rsidR="00A546A7"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. </w:t>
            </w:r>
          </w:p>
          <w:p w:rsidR="00B91FF4" w:rsidRPr="004617BB" w:rsidRDefault="00B91FF4" w:rsidP="002A1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</w:pPr>
          </w:p>
          <w:p w:rsidR="002F32FE" w:rsidRPr="004617BB" w:rsidRDefault="005C1371" w:rsidP="0011508D">
            <w:pPr>
              <w:jc w:val="both"/>
              <w:rPr>
                <w:rFonts w:ascii="Helvetica" w:hAnsi="Helvetica" w:cstheme="minorHAnsi"/>
                <w:sz w:val="24"/>
                <w:szCs w:val="24"/>
              </w:rPr>
            </w:pPr>
            <w:r w:rsidRPr="004617BB">
              <w:rPr>
                <w:rFonts w:ascii="Helvetica" w:hAnsi="Helvetica" w:cstheme="minorHAnsi"/>
                <w:sz w:val="24"/>
                <w:szCs w:val="24"/>
              </w:rPr>
              <w:t xml:space="preserve">Au-delà des besoins propres à l’ISPEF, il s’agira aussi pour le ou la MCF </w:t>
            </w:r>
            <w:proofErr w:type="spellStart"/>
            <w:r w:rsidRPr="004617BB">
              <w:rPr>
                <w:rFonts w:ascii="Helvetica" w:hAnsi="Helvetica" w:cstheme="minorHAnsi"/>
                <w:sz w:val="24"/>
                <w:szCs w:val="24"/>
              </w:rPr>
              <w:t>recruté</w:t>
            </w:r>
            <w:r w:rsidR="00371F31">
              <w:rPr>
                <w:rFonts w:ascii="Helvetica" w:hAnsi="Helvetica" w:cstheme="minorHAnsi"/>
                <w:sz w:val="24"/>
                <w:szCs w:val="24"/>
              </w:rPr>
              <w:t>.</w:t>
            </w:r>
            <w:r w:rsidRPr="004617BB">
              <w:rPr>
                <w:rFonts w:ascii="Helvetica" w:hAnsi="Helvetica" w:cstheme="minorHAnsi"/>
                <w:sz w:val="24"/>
                <w:szCs w:val="24"/>
              </w:rPr>
              <w:t>e</w:t>
            </w:r>
            <w:proofErr w:type="spellEnd"/>
            <w:r w:rsidRPr="004617BB">
              <w:rPr>
                <w:rFonts w:ascii="Helvetica" w:hAnsi="Helvetica" w:cstheme="minorHAnsi"/>
                <w:sz w:val="24"/>
                <w:szCs w:val="24"/>
              </w:rPr>
              <w:t xml:space="preserve">, après titularisation, d’appuyer le Service de Pédagogie du </w:t>
            </w:r>
            <w:r w:rsidRPr="004617BB">
              <w:rPr>
                <w:rFonts w:ascii="Helvetica" w:hAnsi="Helvetica" w:cstheme="minorHAnsi"/>
                <w:sz w:val="24"/>
                <w:szCs w:val="24"/>
              </w:rPr>
              <w:lastRenderedPageBreak/>
              <w:t>Supérieur en effectuant des enseignements pour les MCF nouvellement recruté</w:t>
            </w:r>
            <w:r w:rsidR="00371F31">
              <w:rPr>
                <w:rFonts w:ascii="Helvetica" w:hAnsi="Helvetica" w:cstheme="minorHAnsi"/>
                <w:sz w:val="24"/>
                <w:szCs w:val="24"/>
              </w:rPr>
              <w:t>.e</w:t>
            </w:r>
            <w:r w:rsidRPr="004617BB">
              <w:rPr>
                <w:rFonts w:ascii="Helvetica" w:hAnsi="Helvetica" w:cstheme="minorHAnsi"/>
                <w:sz w:val="24"/>
                <w:szCs w:val="24"/>
              </w:rPr>
              <w:t>s.</w:t>
            </w:r>
          </w:p>
          <w:p w:rsidR="002F32FE" w:rsidRPr="004617BB" w:rsidRDefault="002F32FE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lastRenderedPageBreak/>
              <w:t>Profil enseignement en anglais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val="en-US"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BFBFBF"/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Helvetica" w:eastAsiaTheme="minorEastAsia" w:hAnsi="Helvetica" w:cs="Helvetica-Bold"/>
                <w:b/>
                <w:bCs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-Bold"/>
                <w:b/>
                <w:bCs/>
                <w:kern w:val="1"/>
                <w:sz w:val="24"/>
                <w:szCs w:val="24"/>
                <w:lang w:eastAsia="fr-FR"/>
              </w:rPr>
              <w:t>RECHERCHE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Unité de recherche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ECP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Lieu exercice  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86 rue Pasteur 69365 Lyon cedex 07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Contact scientifique (nom, téléphone professionnel et adresse électronique)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Françoise Lantheaume</w:t>
            </w:r>
          </w:p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Francoise.Lantheaume@univ-lyon2.fr</w:t>
            </w: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URL de l’unité de recherche  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http://recherche.univ-lyon2.fr/ecp</w:t>
            </w:r>
          </w:p>
        </w:tc>
      </w:tr>
      <w:tr w:rsidR="00096E74" w:rsidRPr="00B91FF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Profil recherche (seuls les 300 1</w:t>
            </w: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vertAlign w:val="superscript"/>
                <w:lang w:eastAsia="fr-FR"/>
              </w:rPr>
              <w:t>ers</w:t>
            </w: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 caractères sont inscrits dans galaxie mais la fiche de poste complète est accessible)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  <w:p w:rsidR="00A546A7" w:rsidRPr="004617BB" w:rsidRDefault="0073555D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Le.la </w:t>
            </w:r>
            <w:proofErr w:type="spellStart"/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>candidat.e</w:t>
            </w:r>
            <w:proofErr w:type="spellEnd"/>
            <w:r w:rsidRPr="004617BB">
              <w:rPr>
                <w:rFonts w:ascii="Helvetica" w:eastAsiaTheme="minorEastAsia" w:hAnsi="Helvetica" w:cstheme="minorHAnsi"/>
                <w:sz w:val="24"/>
                <w:szCs w:val="24"/>
                <w:lang w:eastAsia="fr-FR"/>
              </w:rPr>
              <w:t xml:space="preserve"> inscrira son activité scientifique dans le</w:t>
            </w:r>
            <w:r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champ de la formation des adultes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et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de l’éducation populaire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. Il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ou elle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étudiera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l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es formes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émergentes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d'éducation et de for</w:t>
            </w:r>
            <w:r w:rsidR="00577A59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mation tout au long de la vie</w:t>
            </w:r>
            <w:r w:rsidR="001D7694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à partir d’une orientation sociohistorique</w:t>
            </w:r>
            <w:r w:rsidR="005C1371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. 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L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'interprétation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et l'usage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que font les acteurs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,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à des échelles</w:t>
            </w:r>
            <w:r w:rsidR="00AC496E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spatiales et temporelles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variées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, des politiques et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des</w:t>
            </w:r>
            <w:r w:rsidR="0087588C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dispositifs de formation tout au long de la vie, ainsi que les parcours de formation et professionnels des acteurs recourant à la formation tout au long de la vie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, seront particulièrement étudiés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. L</w:t>
            </w:r>
            <w:r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es travaux, </w:t>
            </w:r>
            <w:r w:rsidR="0025057B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notamment</w:t>
            </w:r>
            <w:r w:rsidR="00577A59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la</w:t>
            </w:r>
            <w:r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conception et l'organisation d’enquêtes empiriques, seront conduits</w:t>
            </w:r>
            <w:r w:rsidR="00577A59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au sein des 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axe</w:t>
            </w:r>
            <w:r w:rsidR="00577A59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>s</w:t>
            </w:r>
            <w:r w:rsidR="00A546A7" w:rsidRPr="004617BB"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  <w:t xml:space="preserve"> 1 et 4 du laboratoire Education, Cultures, Politiques.</w:t>
            </w:r>
          </w:p>
          <w:p w:rsidR="00A546A7" w:rsidRPr="004617BB" w:rsidRDefault="00A546A7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  <w:p w:rsidR="005C1371" w:rsidRPr="004617BB" w:rsidRDefault="005C1371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  <w:p w:rsidR="00096E74" w:rsidRPr="004617BB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4"/>
              <w:jc w:val="both"/>
              <w:rPr>
                <w:rFonts w:ascii="Helvetica" w:eastAsiaTheme="minorEastAsia" w:hAnsi="Helvetica" w:cstheme="minorHAnsi"/>
                <w:kern w:val="1"/>
                <w:sz w:val="24"/>
                <w:szCs w:val="24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2734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proofErr w:type="spellStart"/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Research</w:t>
            </w:r>
            <w:proofErr w:type="spellEnd"/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fields</w:t>
            </w:r>
            <w:proofErr w:type="spellEnd"/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(cf. liste champs de recherché EURAXESS jointe)</w:t>
            </w:r>
          </w:p>
        </w:tc>
        <w:tc>
          <w:tcPr>
            <w:tcW w:w="78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BFBFBF"/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Helvetica-Bold" w:eastAsiaTheme="minorEastAsia" w:hAnsi="Helvetica-Bold" w:cs="Helvetica-Bold"/>
                <w:b/>
                <w:bCs/>
                <w:kern w:val="1"/>
                <w:sz w:val="32"/>
                <w:szCs w:val="32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5C1371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Responsabilité</w:t>
            </w:r>
            <w:r w:rsidR="00371F3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s</w:t>
            </w:r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administratives et pédagogiques envisagées : </w:t>
            </w:r>
          </w:p>
          <w:p w:rsidR="00096E74" w:rsidRPr="005C1371" w:rsidRDefault="005C1371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Suite à sa titularisation, le ou la </w:t>
            </w:r>
            <w:proofErr w:type="spellStart"/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candidat.e</w:t>
            </w:r>
            <w:proofErr w:type="spellEnd"/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assurera</w:t>
            </w:r>
          </w:p>
          <w:p w:rsidR="00953D0D" w:rsidRPr="005C1371" w:rsidRDefault="00953D0D" w:rsidP="00953D0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Coordination de l’option Formation des Adultes et Education populaire (L2/L3) notamment dans la perspective du futur quinquennal</w:t>
            </w:r>
          </w:p>
          <w:p w:rsidR="00953D0D" w:rsidRPr="005C1371" w:rsidRDefault="00953D0D" w:rsidP="00953D0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5C1371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Responsabilité de l’option Métiers de l’Intervention en Formation des Adultes du M1 Sciences de l’Education </w:t>
            </w:r>
          </w:p>
          <w:p w:rsidR="00953D0D" w:rsidRPr="005C1371" w:rsidRDefault="00953D0D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5C1371" w:rsidRDefault="00096E74" w:rsidP="00953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</w:tc>
      </w:tr>
      <w:tr w:rsidR="00096E74" w:rsidRPr="00096E74" w:rsidTr="004617BB">
        <w:tblPrEx>
          <w:tblBorders>
            <w:top w:val="none" w:sz="0" w:space="0" w:color="auto"/>
            <w:bottom w:val="single" w:sz="4" w:space="0" w:color="BFBFBF"/>
          </w:tblBorders>
        </w:tblPrEx>
        <w:trPr>
          <w:gridAfter w:val="1"/>
          <w:wAfter w:w="596" w:type="dxa"/>
        </w:trPr>
        <w:tc>
          <w:tcPr>
            <w:tcW w:w="10598" w:type="dxa"/>
            <w:gridSpan w:val="2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Mots clés </w:t>
            </w:r>
            <w:r w:rsidRPr="00096E74">
              <w:rPr>
                <w:rFonts w:ascii="Helvetica-Bold" w:eastAsiaTheme="minorEastAsia" w:hAnsi="Helvetica-Bold" w:cs="Helvetica-Bold"/>
                <w:b/>
                <w:bCs/>
                <w:kern w:val="1"/>
                <w:sz w:val="24"/>
                <w:szCs w:val="24"/>
                <w:u w:val="single"/>
                <w:lang w:eastAsia="fr-FR"/>
              </w:rPr>
              <w:t>(5 maximum)</w:t>
            </w:r>
            <w:r w:rsidRPr="00096E74"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 xml:space="preserve"> correspondant à l’emploi (cf. liste mots clés jointe)</w:t>
            </w:r>
          </w:p>
          <w:p w:rsidR="00096E74" w:rsidRPr="00096E74" w:rsidRDefault="00096E74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</w:p>
          <w:p w:rsidR="00096E74" w:rsidRPr="00096E74" w:rsidRDefault="0009349E" w:rsidP="0009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</w:pPr>
            <w:r>
              <w:rPr>
                <w:rFonts w:ascii="Helvetica" w:eastAsiaTheme="minorEastAsia" w:hAnsi="Helvetica" w:cs="Helvetica"/>
                <w:kern w:val="1"/>
                <w:sz w:val="24"/>
                <w:szCs w:val="24"/>
                <w:lang w:eastAsia="fr-FR"/>
              </w:rPr>
              <w:t>Formation des adultes, politiques éducatives, formation</w:t>
            </w:r>
          </w:p>
        </w:tc>
      </w:tr>
    </w:tbl>
    <w:p w:rsidR="00367FA4" w:rsidRPr="00936E8F" w:rsidRDefault="00367FA4" w:rsidP="00936E8F"/>
    <w:sectPr w:rsidR="00367FA4" w:rsidRPr="00936E8F" w:rsidSect="00F92152">
      <w:pgSz w:w="11900" w:h="16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-Bold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MT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-BoldMT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43D5A"/>
    <w:multiLevelType w:val="hybridMultilevel"/>
    <w:tmpl w:val="269A6EC8"/>
    <w:lvl w:ilvl="0" w:tplc="8C54EC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6C67EFA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E13"/>
    <w:rsid w:val="00087B7F"/>
    <w:rsid w:val="0009349E"/>
    <w:rsid w:val="00096E74"/>
    <w:rsid w:val="000A3E13"/>
    <w:rsid w:val="0011508D"/>
    <w:rsid w:val="001D7694"/>
    <w:rsid w:val="0025057B"/>
    <w:rsid w:val="002A1AFB"/>
    <w:rsid w:val="002B315F"/>
    <w:rsid w:val="002F32FE"/>
    <w:rsid w:val="00367FA4"/>
    <w:rsid w:val="00371F31"/>
    <w:rsid w:val="00416947"/>
    <w:rsid w:val="004617BB"/>
    <w:rsid w:val="00577A59"/>
    <w:rsid w:val="005C1371"/>
    <w:rsid w:val="005F5FA5"/>
    <w:rsid w:val="00616695"/>
    <w:rsid w:val="0073555D"/>
    <w:rsid w:val="0087588C"/>
    <w:rsid w:val="00936E8F"/>
    <w:rsid w:val="00953D0D"/>
    <w:rsid w:val="0098561C"/>
    <w:rsid w:val="00A546A7"/>
    <w:rsid w:val="00AC496E"/>
    <w:rsid w:val="00B91FF4"/>
    <w:rsid w:val="00BE3CFA"/>
    <w:rsid w:val="00EF1ECE"/>
    <w:rsid w:val="00F421E4"/>
    <w:rsid w:val="00F92152"/>
    <w:rsid w:val="00FE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AF3A3C-B303-9841-B8E7-5BC4F937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21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F1E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69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94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v-lyon2.fr/recherche/www3-recherche-131210.kjsp?RH=WWW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 Bouchetal</dc:creator>
  <cp:lastModifiedBy>Utilisateur Microsoft Office</cp:lastModifiedBy>
  <cp:revision>4</cp:revision>
  <dcterms:created xsi:type="dcterms:W3CDTF">2019-10-03T15:24:00Z</dcterms:created>
  <dcterms:modified xsi:type="dcterms:W3CDTF">2019-10-04T10:45:00Z</dcterms:modified>
</cp:coreProperties>
</file>